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17" w:rsidRPr="00016517" w:rsidRDefault="00016517" w:rsidP="00016517">
      <w:pPr>
        <w:spacing w:line="52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bookmarkStart w:id="0" w:name="_GoBack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附件</w:t>
      </w: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1</w:t>
      </w:r>
    </w:p>
    <w:p w:rsidR="00016517" w:rsidRPr="00016517" w:rsidRDefault="00016517" w:rsidP="00016517">
      <w:pPr>
        <w:spacing w:line="520" w:lineRule="exact"/>
        <w:jc w:val="center"/>
        <w:rPr>
          <w:rFonts w:ascii="仿宋_GB2312" w:eastAsia="仿宋_GB2312" w:hAnsi="方正小标宋简体" w:cs="方正小标宋简体"/>
          <w:bCs/>
          <w:sz w:val="44"/>
          <w:szCs w:val="44"/>
        </w:rPr>
      </w:pPr>
      <w:r w:rsidRPr="00016517">
        <w:rPr>
          <w:rFonts w:ascii="仿宋_GB2312" w:eastAsia="仿宋_GB2312" w:hAnsi="方正小标宋简体" w:cs="方正小标宋简体" w:hint="eastAsia"/>
          <w:bCs/>
          <w:sz w:val="44"/>
          <w:szCs w:val="44"/>
        </w:rPr>
        <w:t>实践参考课题</w:t>
      </w:r>
    </w:p>
    <w:bookmarkEnd w:id="0"/>
    <w:p w:rsidR="00016517" w:rsidRPr="00016517" w:rsidRDefault="00016517" w:rsidP="00016517">
      <w:pPr>
        <w:spacing w:line="520" w:lineRule="exact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 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1.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井冈山革命传统教育在青少年思想引领中的作用及效果分析（以基地为例）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2.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适用于青少年基地的现场教学点课程设计</w:t>
      </w: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(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北山烈士陵园、茨坪革命旧址群、大井毛泽东旧居、小井烈士墓、黄洋界、八角楼、三湾枫树坪、龙江书院、荆竹山雷打石任选一例，围绕青年干部和青少年两个不同的群体设计出适合</w:t>
      </w:r>
      <w:proofErr w:type="gramStart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本教学</w:t>
      </w:r>
      <w:proofErr w:type="gramEnd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点的讲解词与契合现场主题的授课稿各一篇）</w:t>
      </w:r>
    </w:p>
    <w:p w:rsidR="00016517" w:rsidRPr="00016517" w:rsidRDefault="00016517" w:rsidP="00016517">
      <w:pPr>
        <w:autoSpaceDN w:val="0"/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3.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井冈山红色歌谣在党史教育中的课程创新设计（需设计具体的“红歌教学”方案和课件）</w:t>
      </w:r>
    </w:p>
    <w:p w:rsidR="00016517" w:rsidRPr="00016517" w:rsidRDefault="00016517" w:rsidP="00016517">
      <w:pPr>
        <w:autoSpaceDN w:val="0"/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4.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井冈山红色诗词在党史教育中的课程创新设计（需设计具体的课程方案和课件）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5.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糅合井冈山革命斗争史的素质拓展项目活动设计（基地课程“红军的一天”“红军运动会”“作风建设永远在路上”任选一例，需设计具体的项目操作手册）</w:t>
      </w:r>
    </w:p>
    <w:p w:rsidR="00016517" w:rsidRPr="00016517" w:rsidRDefault="00016517" w:rsidP="00016517">
      <w:pPr>
        <w:autoSpaceDN w:val="0"/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6.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基于井冈山红色资源有效整合基础上的青少年游学营项目设计（需设计具体的项目操作手册）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7.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井冈山斗争时期历史文物背后的故事采集与整理（需分类别整理故事材料）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8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．适应于青少年基地的校园歌曲创编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9.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基于井冈山重大历史事件的动态地图制作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10.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糅合井冈山红色元素的楼宇、室内装饰设计（基地综合楼、专家楼、学员楼、学员餐厅任选一例）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11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．红色</w:t>
      </w:r>
      <w:proofErr w:type="gramStart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微电影</w:t>
      </w:r>
      <w:proofErr w:type="gramEnd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创作与拍摄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lastRenderedPageBreak/>
        <w:t>12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．井冈山革命历史</w:t>
      </w:r>
      <w:proofErr w:type="gramStart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重大事件动漫创作</w:t>
      </w:r>
      <w:proofErr w:type="gramEnd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（如引兵井冈、三湾改编、井冈山会师、黄洋界保卫战等）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13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．井冈山革命历史连环画创作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14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．井冈山革命历史情景剧剧本创作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15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．井冈山革命历史文化产品创意设计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16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．井冈山竹子文化与精神的挖掘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17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．井冈山红色歌谣的采集与整理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18.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革命后代口述史料采集、整理及视频制作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19.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革命历史题材影视剧涉及井冈山的视频片段素材库建设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20.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井冈山革命根据地诗词、楹联收集与整理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21.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红色教育中体验式教学运用实践与效果分析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 xml:space="preserve">22. 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井冈山革命传统教育网络微课堂课程开发</w:t>
      </w:r>
    </w:p>
    <w:p w:rsidR="00016517" w:rsidRPr="00016517" w:rsidRDefault="00016517" w:rsidP="00016517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23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</w:t>
      </w:r>
      <w:proofErr w:type="gramStart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微信微博</w:t>
      </w:r>
      <w:proofErr w:type="gramEnd"/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等新媒体在青少年革命传统教育中的应用研究</w:t>
      </w:r>
    </w:p>
    <w:p w:rsidR="00016517" w:rsidRPr="00016517" w:rsidRDefault="00016517" w:rsidP="0001651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24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．井冈山农业产业化典型案例调查与研究</w:t>
      </w:r>
    </w:p>
    <w:p w:rsidR="00016517" w:rsidRPr="00016517" w:rsidRDefault="00016517" w:rsidP="0001651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25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．井冈山红色资源的保护、开发与利用现状调查</w:t>
      </w:r>
    </w:p>
    <w:p w:rsidR="00016517" w:rsidRPr="00016517" w:rsidRDefault="00016517" w:rsidP="00016517">
      <w:pPr>
        <w:spacing w:line="520" w:lineRule="exact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 w:rsidRPr="00016517">
        <w:rPr>
          <w:rFonts w:ascii="仿宋_GB2312" w:eastAsia="仿宋_GB2312" w:hAnsi="Times New Roman" w:cs="Times New Roman"/>
          <w:bCs/>
          <w:sz w:val="32"/>
          <w:szCs w:val="32"/>
        </w:rPr>
        <w:t>26</w:t>
      </w:r>
      <w:r w:rsidRPr="00016517">
        <w:rPr>
          <w:rFonts w:ascii="仿宋_GB2312" w:eastAsia="仿宋_GB2312" w:hAnsi="Times New Roman" w:cs="Times New Roman" w:hint="eastAsia"/>
          <w:bCs/>
          <w:sz w:val="32"/>
          <w:szCs w:val="32"/>
        </w:rPr>
        <w:t>．井冈山革命老区“精准扶贫”情况调查与研究</w:t>
      </w:r>
    </w:p>
    <w:p w:rsidR="004B357B" w:rsidRPr="00016517" w:rsidRDefault="004B357B" w:rsidP="00016517"/>
    <w:sectPr w:rsidR="004B357B" w:rsidRPr="00016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17"/>
    <w:rsid w:val="00016517"/>
    <w:rsid w:val="004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xtw-04</dc:creator>
  <cp:lastModifiedBy>xtw-04</cp:lastModifiedBy>
  <cp:revision>1</cp:revision>
  <dcterms:created xsi:type="dcterms:W3CDTF">2016-05-13T01:10:00Z</dcterms:created>
  <dcterms:modified xsi:type="dcterms:W3CDTF">2016-05-13T01:12:00Z</dcterms:modified>
</cp:coreProperties>
</file>