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28" w:rsidRPr="00CC39FB" w:rsidRDefault="00EF02EB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C39FB">
        <w:rPr>
          <w:rFonts w:ascii="方正小标宋简体" w:eastAsia="方正小标宋简体" w:hint="eastAsia"/>
          <w:sz w:val="36"/>
          <w:szCs w:val="36"/>
        </w:rPr>
        <w:t>河南师范大学“青春‘忆’百年”学党史</w:t>
      </w:r>
    </w:p>
    <w:p w:rsidR="00C56B28" w:rsidRPr="00CC39FB" w:rsidRDefault="00EF02EB" w:rsidP="001B1B47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C39FB">
        <w:rPr>
          <w:rFonts w:ascii="方正小标宋简体" w:eastAsia="方正小标宋简体" w:hint="eastAsia"/>
          <w:sz w:val="36"/>
          <w:szCs w:val="36"/>
        </w:rPr>
        <w:t>系列活动之诵“艺”悟史</w:t>
      </w:r>
      <w:r w:rsidR="001B1B47">
        <w:rPr>
          <w:rFonts w:ascii="方正小标宋简体" w:eastAsia="方正小标宋简体" w:hint="eastAsia"/>
          <w:sz w:val="36"/>
          <w:szCs w:val="36"/>
        </w:rPr>
        <w:t>：</w:t>
      </w:r>
      <w:bookmarkStart w:id="0" w:name="_GoBack"/>
      <w:bookmarkEnd w:id="0"/>
      <w:r w:rsidRPr="00CC39FB">
        <w:rPr>
          <w:rFonts w:ascii="方正小标宋简体" w:eastAsia="方正小标宋简体" w:hint="eastAsia"/>
          <w:sz w:val="36"/>
          <w:szCs w:val="36"/>
        </w:rPr>
        <w:t>诵读共享会实施方案</w:t>
      </w:r>
    </w:p>
    <w:p w:rsidR="00CC39FB" w:rsidRDefault="00CC39F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C56B28" w:rsidRDefault="00EF02E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一、活动背景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为热烈庆祝中国共产党成立1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周年，进一步贯彻落</w:t>
      </w:r>
      <w:proofErr w:type="gramStart"/>
      <w:r>
        <w:rPr>
          <w:rFonts w:ascii="仿宋" w:eastAsia="仿宋" w:hAnsi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平总书记在党史学习教育动员大会上的重要讲话精神和团中央《关于在全团开展“学党史、强信念、跟党走”学习教育的通知》，</w:t>
      </w:r>
      <w:bookmarkStart w:id="1" w:name="_Hlk67932548"/>
      <w:r>
        <w:rPr>
          <w:rFonts w:ascii="仿宋" w:eastAsia="仿宋" w:hAnsi="仿宋" w:hint="eastAsia"/>
          <w:sz w:val="32"/>
          <w:szCs w:val="32"/>
        </w:rPr>
        <w:t>引导广大团员青年厚植爱党、爱国、爱社会主义的情感，回顾党的光辉历程，继承和发扬党的光荣传统和优良作风</w:t>
      </w:r>
      <w:bookmarkEnd w:id="1"/>
      <w:r>
        <w:rPr>
          <w:rFonts w:ascii="仿宋" w:eastAsia="仿宋" w:hAnsi="仿宋" w:hint="eastAsia"/>
          <w:sz w:val="32"/>
          <w:szCs w:val="32"/>
        </w:rPr>
        <w:t>，共青团河南师范大学委员会决定组织开展</w:t>
      </w:r>
      <w:r>
        <w:rPr>
          <w:rFonts w:ascii="仿宋" w:eastAsia="仿宋" w:hAnsi="仿宋" w:cs="方正小标宋简体" w:hint="eastAsia"/>
          <w:sz w:val="32"/>
          <w:szCs w:val="32"/>
        </w:rPr>
        <w:t>“青春‘忆’百年”学党史系列活动之</w:t>
      </w:r>
      <w:r>
        <w:rPr>
          <w:rFonts w:ascii="仿宋" w:eastAsia="仿宋" w:hAnsi="仿宋" w:hint="eastAsia"/>
          <w:sz w:val="32"/>
          <w:szCs w:val="32"/>
        </w:rPr>
        <w:t>诵</w:t>
      </w:r>
      <w:proofErr w:type="gramStart"/>
      <w:r>
        <w:rPr>
          <w:rFonts w:ascii="仿宋" w:eastAsia="仿宋" w:hAnsi="仿宋" w:hint="eastAsia"/>
          <w:sz w:val="32"/>
          <w:szCs w:val="32"/>
        </w:rPr>
        <w:t>“艺”悟史诵读</w:t>
      </w:r>
      <w:proofErr w:type="gramEnd"/>
      <w:r>
        <w:rPr>
          <w:rFonts w:ascii="仿宋" w:eastAsia="仿宋" w:hAnsi="仿宋" w:hint="eastAsia"/>
          <w:sz w:val="32"/>
          <w:szCs w:val="32"/>
        </w:rPr>
        <w:t>共享会。</w:t>
      </w:r>
    </w:p>
    <w:p w:rsidR="00C56B28" w:rsidRDefault="00EF02E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二、活动目的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史崇德，胸怀千秋伟业，以昂扬姿态奋力开启全面建设社会主义现代化国家新征程；学史力行，恰是百年风华，以优异成绩迎接建党一百周年。本次活动号召广大青年在专家、教师的指导下阅读，深入体会我们党矢志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初心使命的一百年，了解筚路蓝缕奠基立业的一百年。加强引导广大青年把党的历史学习好、总结好，把党的成功经验传承好、发扬好，有效发挥党史学习教育以史鉴今、资政育人的作用。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三、活动主题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67932198"/>
      <w:r>
        <w:rPr>
          <w:rFonts w:ascii="仿宋" w:eastAsia="仿宋" w:hAnsi="仿宋" w:hint="eastAsia"/>
          <w:sz w:val="32"/>
          <w:szCs w:val="32"/>
        </w:rPr>
        <w:t>青春“忆”百年</w:t>
      </w:r>
    </w:p>
    <w:bookmarkEnd w:id="2"/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四、活动时间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 w:rsidR="0083771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月——</w:t>
      </w:r>
      <w:r w:rsidR="0083771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五、活动对象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河南师范大学全体在校本科生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六、组织机构</w:t>
      </w:r>
    </w:p>
    <w:p w:rsidR="00C56B28" w:rsidRDefault="00EF02EB">
      <w:pPr>
        <w:tabs>
          <w:tab w:val="left" w:pos="1093"/>
        </w:tabs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主办单位：共青团河南师范大学委员会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承办单位：旅游学院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七、活动安排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1.初赛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085A">
        <w:rPr>
          <w:rFonts w:ascii="仿宋" w:eastAsia="仿宋" w:hAnsi="仿宋" w:hint="eastAsia"/>
          <w:sz w:val="32"/>
          <w:szCs w:val="32"/>
        </w:rPr>
        <w:t>2</w:t>
      </w:r>
      <w:r w:rsidRPr="0051085A">
        <w:rPr>
          <w:rFonts w:ascii="仿宋" w:eastAsia="仿宋" w:hAnsi="仿宋"/>
          <w:sz w:val="32"/>
          <w:szCs w:val="32"/>
        </w:rPr>
        <w:t>021</w:t>
      </w:r>
      <w:r w:rsidRPr="0051085A">
        <w:rPr>
          <w:rFonts w:ascii="仿宋" w:eastAsia="仿宋" w:hAnsi="仿宋" w:hint="eastAsia"/>
          <w:sz w:val="32"/>
          <w:szCs w:val="32"/>
        </w:rPr>
        <w:t>年</w:t>
      </w:r>
      <w:r w:rsidR="0051085A" w:rsidRPr="0051085A">
        <w:rPr>
          <w:rFonts w:ascii="仿宋" w:eastAsia="仿宋" w:hAnsi="仿宋" w:hint="eastAsia"/>
          <w:sz w:val="32"/>
          <w:szCs w:val="32"/>
        </w:rPr>
        <w:t>5</w:t>
      </w:r>
      <w:r w:rsidRPr="0051085A">
        <w:rPr>
          <w:rFonts w:ascii="仿宋" w:eastAsia="仿宋" w:hAnsi="仿宋" w:hint="eastAsia"/>
          <w:sz w:val="32"/>
          <w:szCs w:val="32"/>
        </w:rPr>
        <w:t>月1</w:t>
      </w:r>
      <w:r w:rsidR="0051085A" w:rsidRPr="0051085A">
        <w:rPr>
          <w:rFonts w:ascii="仿宋" w:eastAsia="仿宋" w:hAnsi="仿宋" w:hint="eastAsia"/>
          <w:sz w:val="32"/>
          <w:szCs w:val="32"/>
        </w:rPr>
        <w:t>8</w:t>
      </w:r>
      <w:r w:rsidRPr="0051085A">
        <w:rPr>
          <w:rFonts w:ascii="仿宋" w:eastAsia="仿宋" w:hAnsi="仿宋" w:hint="eastAsia"/>
          <w:sz w:val="32"/>
          <w:szCs w:val="32"/>
        </w:rPr>
        <w:t>日至</w:t>
      </w:r>
      <w:r w:rsidR="0051085A" w:rsidRPr="0051085A">
        <w:rPr>
          <w:rFonts w:ascii="仿宋" w:eastAsia="仿宋" w:hAnsi="仿宋" w:hint="eastAsia"/>
          <w:sz w:val="32"/>
          <w:szCs w:val="32"/>
        </w:rPr>
        <w:t>5</w:t>
      </w:r>
      <w:r w:rsidRPr="0051085A">
        <w:rPr>
          <w:rFonts w:ascii="仿宋" w:eastAsia="仿宋" w:hAnsi="仿宋" w:hint="eastAsia"/>
          <w:sz w:val="32"/>
          <w:szCs w:val="32"/>
        </w:rPr>
        <w:t>月</w:t>
      </w:r>
      <w:r w:rsidRPr="0051085A">
        <w:rPr>
          <w:rFonts w:ascii="仿宋" w:eastAsia="仿宋" w:hAnsi="仿宋"/>
          <w:sz w:val="32"/>
          <w:szCs w:val="32"/>
        </w:rPr>
        <w:t>2</w:t>
      </w:r>
      <w:r w:rsidR="0051085A" w:rsidRPr="0051085A">
        <w:rPr>
          <w:rFonts w:ascii="仿宋" w:eastAsia="仿宋" w:hAnsi="仿宋" w:hint="eastAsia"/>
          <w:sz w:val="32"/>
          <w:szCs w:val="32"/>
        </w:rPr>
        <w:t>7</w:t>
      </w:r>
      <w:r w:rsidRPr="0051085A">
        <w:rPr>
          <w:rFonts w:ascii="仿宋" w:eastAsia="仿宋" w:hAnsi="仿宋" w:hint="eastAsia"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由各学院（部）广泛宣传发动学生并自行组织初赛选拔，推荐1名参赛选手参加校级复赛。</w:t>
      </w:r>
      <w:r w:rsidR="0051085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月2</w:t>
      </w:r>
      <w:r w:rsidR="0051085A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日下午</w:t>
      </w:r>
      <w:r w:rsidR="0051085A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：00前将参加</w:t>
      </w:r>
      <w:r>
        <w:rPr>
          <w:rFonts w:ascii="仿宋" w:eastAsia="仿宋" w:hAnsi="仿宋" w:hint="eastAsia"/>
          <w:sz w:val="32"/>
          <w:szCs w:val="32"/>
        </w:rPr>
        <w:t>复赛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选手报名表、演讲稿、朗诵片段文稿、PPT</w:t>
      </w:r>
      <w:r>
        <w:rPr>
          <w:rFonts w:ascii="仿宋" w:eastAsia="仿宋" w:hAnsi="仿宋"/>
          <w:sz w:val="32"/>
          <w:szCs w:val="32"/>
        </w:rPr>
        <w:t>等纸质材料加盖学院</w:t>
      </w:r>
      <w:r>
        <w:rPr>
          <w:rFonts w:ascii="仿宋" w:eastAsia="仿宋" w:hAnsi="仿宋" w:hint="eastAsia"/>
          <w:sz w:val="32"/>
          <w:szCs w:val="32"/>
        </w:rPr>
        <w:t>（部）团委</w:t>
      </w:r>
      <w:r>
        <w:rPr>
          <w:rFonts w:ascii="仿宋" w:eastAsia="仿宋" w:hAnsi="仿宋"/>
          <w:sz w:val="32"/>
          <w:szCs w:val="32"/>
        </w:rPr>
        <w:t>公章后送至琢玉楼旅游学院101房间,电子版发送至htuxydjds@163.com，联系电话：3328861。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决赛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决赛拟于</w:t>
      </w:r>
      <w:r w:rsidR="0051085A">
        <w:rPr>
          <w:rFonts w:ascii="仿宋" w:eastAsia="仿宋" w:hAnsi="仿宋" w:hint="eastAsia"/>
          <w:sz w:val="32"/>
          <w:szCs w:val="32"/>
        </w:rPr>
        <w:t>6月初</w:t>
      </w:r>
      <w:r>
        <w:rPr>
          <w:rFonts w:ascii="仿宋" w:eastAsia="仿宋" w:hAnsi="仿宋" w:hint="eastAsia"/>
          <w:sz w:val="32"/>
          <w:szCs w:val="32"/>
        </w:rPr>
        <w:t>举行，比赛分组、抽签时间及比赛场地另行通知。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八、活动要求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内容形式：选手需围绕活动主题“青春‘忆’百年学党史”，在专家、教师的指导下阅读一本相关书籍，师生结合书籍内容共同进行感悟分享。比赛内容需包含节选片段朗诵和阅读感悟演讲，要求紧扣主题、内容详实、语言简洁，具有较强的说服力和感染力，演讲题目自拟。参赛形式以演讲为主，分朗诵和演讲两个部分，配合PPT进行，</w:t>
      </w:r>
      <w:bookmarkStart w:id="3" w:name="_Hlk67932313"/>
      <w:r>
        <w:rPr>
          <w:rFonts w:ascii="仿宋" w:eastAsia="仿宋" w:hAnsi="仿宋" w:hint="eastAsia"/>
          <w:sz w:val="32"/>
          <w:szCs w:val="32"/>
        </w:rPr>
        <w:t>可辅以伴奏、演绎、视频等其他艺术形式</w:t>
      </w:r>
      <w:bookmarkEnd w:id="3"/>
      <w:r>
        <w:rPr>
          <w:rFonts w:ascii="仿宋" w:eastAsia="仿宋" w:hAnsi="仿宋" w:hint="eastAsia"/>
          <w:sz w:val="32"/>
          <w:szCs w:val="32"/>
        </w:rPr>
        <w:t>，全程脱稿，时</w:t>
      </w:r>
      <w:proofErr w:type="gramStart"/>
      <w:r>
        <w:rPr>
          <w:rFonts w:ascii="仿宋" w:eastAsia="仿宋" w:hAnsi="仿宋" w:hint="eastAsia"/>
          <w:sz w:val="32"/>
          <w:szCs w:val="32"/>
        </w:rPr>
        <w:t>长控制</w:t>
      </w:r>
      <w:proofErr w:type="gramEnd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10-15</w:t>
      </w:r>
      <w:r>
        <w:rPr>
          <w:rFonts w:ascii="仿宋" w:eastAsia="仿宋" w:hAnsi="仿宋" w:hint="eastAsia"/>
          <w:sz w:val="32"/>
          <w:szCs w:val="32"/>
        </w:rPr>
        <w:lastRenderedPageBreak/>
        <w:t>分钟。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演讲由个人进行，朗诵可以个人或团队形式进行；指导教师可通过现场展示、视频拍摄等方式与学生共同分享感悟。若为个人参赛，则由该选手独立完成朗诵和演讲；若以团队形式参赛，则演讲人为队长，与其他成员共同完成朗诵，团队总人数需控制在5人以内（包含5人）。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参赛要求：作品主题鲜明突出，内容积极向上；参赛者精神饱满、姿态得体大方，要求普通话标准、吐字清晰、节奏韵律明显。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九、奖项设置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本次大赛根据选手排名设置一等奖</w:t>
      </w:r>
      <w:r>
        <w:rPr>
          <w:rFonts w:ascii="仿宋" w:eastAsia="仿宋" w:hAnsi="仿宋"/>
          <w:sz w:val="32"/>
          <w:szCs w:val="32"/>
        </w:rPr>
        <w:t>2个、二等奖3个、三等奖5个，优秀奖15名，优秀组织奖10个，优秀组织奖由大赛评委会根据各学院报送的材料及决赛表现评出，材料要体现出学院层层选拔的比赛过程以及对演讲比赛的全方位、多角度宣传。</w:t>
      </w:r>
    </w:p>
    <w:p w:rsidR="00C56B28" w:rsidRDefault="00EF02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十、附件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附件1：评分细则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附件2：报名表</w:t>
      </w:r>
    </w:p>
    <w:p w:rsidR="00C56B28" w:rsidRDefault="00EF02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附件3：推荐书目</w:t>
      </w:r>
    </w:p>
    <w:p w:rsidR="00C56B28" w:rsidRDefault="00EF02E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1：</w:t>
      </w:r>
    </w:p>
    <w:p w:rsidR="00C56B28" w:rsidRDefault="00EF02EB">
      <w:pPr>
        <w:jc w:val="center"/>
        <w:rPr>
          <w:rFonts w:ascii="方正小标宋简体" w:eastAsia="方正小标宋简体"/>
          <w:sz w:val="32"/>
          <w:szCs w:val="32"/>
        </w:rPr>
      </w:pPr>
      <w:bookmarkStart w:id="4" w:name="_Hlk68101091"/>
      <w:r>
        <w:rPr>
          <w:rFonts w:ascii="方正小标宋简体" w:eastAsia="方正小标宋简体" w:hint="eastAsia"/>
          <w:sz w:val="32"/>
          <w:szCs w:val="32"/>
        </w:rPr>
        <w:t>河南师范大学</w:t>
      </w:r>
      <w:bookmarkStart w:id="5" w:name="_Hlk67826174"/>
      <w:bookmarkEnd w:id="4"/>
      <w:r>
        <w:rPr>
          <w:rFonts w:ascii="方正小标宋简体" w:eastAsia="方正小标宋简体" w:hint="eastAsia"/>
          <w:sz w:val="32"/>
          <w:szCs w:val="32"/>
        </w:rPr>
        <w:t>“青春‘忆’百年”学党史系列活动之</w:t>
      </w:r>
    </w:p>
    <w:p w:rsidR="00C56B28" w:rsidRDefault="00EF02EB">
      <w:pPr>
        <w:jc w:val="center"/>
        <w:rPr>
          <w:rFonts w:ascii="方正小标宋简体" w:eastAsia="方正小标宋简体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32"/>
          <w:szCs w:val="32"/>
        </w:rPr>
        <w:t>诵“艺”悟史诵读</w:t>
      </w:r>
      <w:bookmarkEnd w:id="5"/>
      <w:proofErr w:type="gramEnd"/>
      <w:r>
        <w:rPr>
          <w:rFonts w:ascii="方正小标宋简体" w:eastAsia="方正小标宋简体" w:hint="eastAsia"/>
          <w:sz w:val="32"/>
          <w:szCs w:val="32"/>
        </w:rPr>
        <w:t>共享会评分细则</w:t>
      </w:r>
    </w:p>
    <w:p w:rsidR="00C56B28" w:rsidRDefault="00EF02EB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评分采取</w:t>
      </w:r>
      <w:r>
        <w:rPr>
          <w:rFonts w:ascii="仿宋" w:eastAsia="仿宋" w:hAnsi="仿宋"/>
          <w:b/>
          <w:sz w:val="30"/>
          <w:szCs w:val="30"/>
        </w:rPr>
        <w:t>100分制。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1、演讲内容（要求脱稿）(30分</w:t>
      </w:r>
      <w:r>
        <w:rPr>
          <w:rFonts w:ascii="仿宋" w:eastAsia="仿宋" w:hAnsi="仿宋"/>
          <w:sz w:val="30"/>
          <w:szCs w:val="30"/>
        </w:rPr>
        <w:t>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a.观点正确、鲜明，主题深刻、集中。(10分)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b:角度新颖、选材得当，材料典型、充分;(5分)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c.切合听众对象，切中社会现实，针对性强;(5分)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d.逻辑严谨，结构清晰，语言生动，说服力强。(10分)</w:t>
      </w:r>
    </w:p>
    <w:p w:rsidR="00C56B28" w:rsidRDefault="00EF02EB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2、语言表达(35分)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语音</w:t>
      </w:r>
      <w:r>
        <w:rPr>
          <w:rFonts w:ascii="仿宋" w:eastAsia="仿宋" w:hAnsi="仿宋"/>
          <w:sz w:val="30"/>
          <w:szCs w:val="30"/>
        </w:rPr>
        <w:t>:普通话标准，吐字清楚、准确，流畅，自然;(15分)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语调</w:t>
      </w:r>
      <w:r>
        <w:rPr>
          <w:rFonts w:ascii="仿宋" w:eastAsia="仿宋" w:hAnsi="仿宋"/>
          <w:sz w:val="30"/>
          <w:szCs w:val="30"/>
        </w:rPr>
        <w:t>:主停顿运用得当，抑扬顿挫切合演讲内容，能准确、恰当地表情达意(15分)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语速：整体流利</w:t>
      </w:r>
      <w:r>
        <w:rPr>
          <w:rFonts w:ascii="仿宋" w:eastAsia="仿宋" w:hAnsi="仿宋"/>
          <w:sz w:val="30"/>
          <w:szCs w:val="30"/>
        </w:rPr>
        <w:t>,有适当的速度,节奏富于变化;(5分)</w:t>
      </w:r>
    </w:p>
    <w:p w:rsidR="00C56B28" w:rsidRDefault="00EF02EB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3、神情动作(20分)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姿态、动作、手势、表情、眼神能准确、鲜明、自然、形象、直观、灵活地表达演讲内容和思想感情，渲染气氛，增强表达效果。</w:t>
      </w:r>
    </w:p>
    <w:p w:rsidR="00C56B28" w:rsidRDefault="00EF02EB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4、仪表形象(10分)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穿着大方、自然、得体，举止从容、端正，精神饱满。</w:t>
      </w:r>
    </w:p>
    <w:p w:rsidR="00C56B28" w:rsidRDefault="00EF02EB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5、演讲时间(8——10分钟）（5分)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超时或少时按照超时或少时的分钟数扣分。</w:t>
      </w:r>
    </w:p>
    <w:p w:rsidR="00C56B28" w:rsidRDefault="00EF02E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(时间限制为8——10分钟，少于8分钟或多于10分钟，每分钟扣1分，不足1分钟按一分钟计算，扣完5分为止)</w:t>
      </w:r>
    </w:p>
    <w:p w:rsidR="00C56B28" w:rsidRDefault="00EF02EB">
      <w:pPr>
        <w:widowControl/>
        <w:jc w:val="left"/>
      </w:pPr>
      <w:r>
        <w:br w:type="page"/>
      </w:r>
    </w:p>
    <w:p w:rsidR="00C56B28" w:rsidRDefault="00EF02E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2：</w:t>
      </w:r>
    </w:p>
    <w:p w:rsidR="00C56B28" w:rsidRDefault="00EF02EB">
      <w:pPr>
        <w:spacing w:line="56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河南师范大学“青春‘忆’百年”学党史系列活动之</w:t>
      </w:r>
    </w:p>
    <w:p w:rsidR="00C56B28" w:rsidRDefault="00EF02EB">
      <w:pPr>
        <w:spacing w:line="56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proofErr w:type="gramStart"/>
      <w:r>
        <w:rPr>
          <w:rFonts w:ascii="方正小标宋简体" w:eastAsia="方正小标宋简体" w:hAnsi="黑体" w:cs="黑体" w:hint="eastAsia"/>
          <w:sz w:val="32"/>
          <w:szCs w:val="32"/>
        </w:rPr>
        <w:t>诵“艺”悟史诵读</w:t>
      </w:r>
      <w:proofErr w:type="gramEnd"/>
      <w:r>
        <w:rPr>
          <w:rFonts w:ascii="方正小标宋简体" w:eastAsia="方正小标宋简体" w:hAnsi="黑体" w:cs="黑体" w:hint="eastAsia"/>
          <w:sz w:val="32"/>
          <w:szCs w:val="32"/>
        </w:rPr>
        <w:t>共享会报名表</w:t>
      </w:r>
    </w:p>
    <w:p w:rsidR="00C56B28" w:rsidRDefault="00EF02EB">
      <w:pPr>
        <w:spacing w:line="560" w:lineRule="exact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学院</w:t>
      </w:r>
      <w:r>
        <w:rPr>
          <w:rFonts w:ascii="黑体" w:eastAsia="黑体" w:hAnsi="黑体" w:cs="黑体" w:hint="eastAsia"/>
          <w:sz w:val="24"/>
          <w:szCs w:val="24"/>
        </w:rPr>
        <w:t xml:space="preserve">： </w:t>
      </w:r>
      <w:r>
        <w:rPr>
          <w:rFonts w:ascii="黑体" w:eastAsia="黑体" w:hAnsi="黑体" w:cs="黑体"/>
          <w:sz w:val="24"/>
          <w:szCs w:val="24"/>
        </w:rPr>
        <w:t xml:space="preserve">                                              日期</w:t>
      </w:r>
      <w:r>
        <w:rPr>
          <w:rFonts w:ascii="黑体" w:eastAsia="黑体" w:hAnsi="黑体" w:cs="黑体" w:hint="eastAsia"/>
          <w:sz w:val="24"/>
          <w:szCs w:val="24"/>
        </w:rPr>
        <w:t xml:space="preserve">： </w:t>
      </w:r>
      <w:r>
        <w:rPr>
          <w:rFonts w:ascii="黑体" w:eastAsia="黑体" w:hAnsi="黑体" w:cs="黑体"/>
          <w:sz w:val="24"/>
          <w:szCs w:val="24"/>
        </w:rPr>
        <w:t xml:space="preserve"> 年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/>
          <w:sz w:val="24"/>
          <w:szCs w:val="24"/>
        </w:rPr>
        <w:t>月</w:t>
      </w:r>
      <w:r>
        <w:rPr>
          <w:rFonts w:ascii="黑体" w:eastAsia="黑体" w:hAnsi="黑体" w:cs="黑体" w:hint="eastAsia"/>
          <w:sz w:val="24"/>
          <w:szCs w:val="24"/>
        </w:rPr>
        <w:t xml:space="preserve"> 日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701"/>
        <w:gridCol w:w="1922"/>
      </w:tblGrid>
      <w:tr w:rsidR="00C56B28">
        <w:trPr>
          <w:trHeight w:val="506"/>
          <w:jc w:val="center"/>
        </w:trPr>
        <w:tc>
          <w:tcPr>
            <w:tcW w:w="1696" w:type="dxa"/>
          </w:tcPr>
          <w:p w:rsidR="00C56B28" w:rsidRDefault="00EF02EB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演讲主题</w:t>
            </w:r>
          </w:p>
        </w:tc>
        <w:tc>
          <w:tcPr>
            <w:tcW w:w="6600" w:type="dxa"/>
            <w:gridSpan w:val="4"/>
          </w:tcPr>
          <w:p w:rsidR="00C56B28" w:rsidRDefault="00C56B28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489"/>
          <w:jc w:val="center"/>
        </w:trPr>
        <w:tc>
          <w:tcPr>
            <w:tcW w:w="1696" w:type="dxa"/>
          </w:tcPr>
          <w:p w:rsidR="00C56B28" w:rsidRDefault="00EF02EB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阅读书籍</w:t>
            </w:r>
          </w:p>
        </w:tc>
        <w:tc>
          <w:tcPr>
            <w:tcW w:w="6600" w:type="dxa"/>
            <w:gridSpan w:val="4"/>
          </w:tcPr>
          <w:p w:rsidR="00C56B28" w:rsidRDefault="00C56B28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489"/>
          <w:jc w:val="center"/>
        </w:trPr>
        <w:tc>
          <w:tcPr>
            <w:tcW w:w="1696" w:type="dxa"/>
          </w:tcPr>
          <w:p w:rsidR="00C56B28" w:rsidRDefault="00EF02EB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指导教师</w:t>
            </w:r>
          </w:p>
        </w:tc>
        <w:tc>
          <w:tcPr>
            <w:tcW w:w="6600" w:type="dxa"/>
            <w:gridSpan w:val="4"/>
          </w:tcPr>
          <w:p w:rsidR="00C56B28" w:rsidRDefault="00C56B28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jc w:val="center"/>
        </w:trPr>
        <w:tc>
          <w:tcPr>
            <w:tcW w:w="1696" w:type="dxa"/>
          </w:tcPr>
          <w:p w:rsidR="00C56B28" w:rsidRDefault="00EF02EB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参赛形式</w:t>
            </w:r>
          </w:p>
        </w:tc>
        <w:tc>
          <w:tcPr>
            <w:tcW w:w="6600" w:type="dxa"/>
            <w:gridSpan w:val="4"/>
          </w:tcPr>
          <w:p w:rsidR="00C56B28" w:rsidRDefault="00EF02EB">
            <w:pPr>
              <w:spacing w:afterLines="50" w:after="156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个人           □ 团队</w:t>
            </w:r>
          </w:p>
        </w:tc>
      </w:tr>
      <w:tr w:rsidR="00C56B28">
        <w:trPr>
          <w:jc w:val="center"/>
        </w:trPr>
        <w:tc>
          <w:tcPr>
            <w:tcW w:w="1696" w:type="dxa"/>
          </w:tcPr>
          <w:p w:rsidR="00C56B28" w:rsidRDefault="00EF02EB">
            <w:pPr>
              <w:spacing w:afterLines="50" w:after="156"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C56B28" w:rsidRDefault="00EF02EB">
            <w:pPr>
              <w:spacing w:afterLines="50" w:after="156"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队长/成员</w:t>
            </w:r>
          </w:p>
        </w:tc>
        <w:tc>
          <w:tcPr>
            <w:tcW w:w="1559" w:type="dxa"/>
          </w:tcPr>
          <w:p w:rsidR="00C56B28" w:rsidRDefault="00EF02EB">
            <w:pPr>
              <w:spacing w:afterLines="50" w:after="156"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:rsidR="00C56B28" w:rsidRDefault="00EF02EB">
            <w:pPr>
              <w:spacing w:afterLines="50" w:after="156"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</w:t>
            </w:r>
          </w:p>
        </w:tc>
        <w:tc>
          <w:tcPr>
            <w:tcW w:w="1922" w:type="dxa"/>
          </w:tcPr>
          <w:p w:rsidR="00C56B28" w:rsidRDefault="00EF02EB">
            <w:pPr>
              <w:spacing w:afterLines="50" w:after="156"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</w:tr>
      <w:tr w:rsidR="00C56B28">
        <w:trPr>
          <w:trHeight w:val="227"/>
          <w:jc w:val="center"/>
        </w:trPr>
        <w:tc>
          <w:tcPr>
            <w:tcW w:w="1696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22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227"/>
          <w:jc w:val="center"/>
        </w:trPr>
        <w:tc>
          <w:tcPr>
            <w:tcW w:w="1696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22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227"/>
          <w:jc w:val="center"/>
        </w:trPr>
        <w:tc>
          <w:tcPr>
            <w:tcW w:w="1696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22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227"/>
          <w:jc w:val="center"/>
        </w:trPr>
        <w:tc>
          <w:tcPr>
            <w:tcW w:w="1696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22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519"/>
          <w:jc w:val="center"/>
        </w:trPr>
        <w:tc>
          <w:tcPr>
            <w:tcW w:w="1696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22" w:type="dxa"/>
          </w:tcPr>
          <w:p w:rsidR="00C56B28" w:rsidRDefault="00C56B28">
            <w:pPr>
              <w:spacing w:afterLines="50" w:after="156"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2400"/>
          <w:jc w:val="center"/>
        </w:trPr>
        <w:tc>
          <w:tcPr>
            <w:tcW w:w="1696" w:type="dxa"/>
            <w:vAlign w:val="center"/>
          </w:tcPr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</w:t>
            </w:r>
          </w:p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容</w:t>
            </w:r>
          </w:p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简</w:t>
            </w:r>
          </w:p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介</w:t>
            </w:r>
            <w:proofErr w:type="gramEnd"/>
          </w:p>
          <w:p w:rsidR="00C56B28" w:rsidRDefault="00EF02EB">
            <w:pPr>
              <w:spacing w:afterLines="50" w:after="156" w:line="3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（3</w:t>
            </w:r>
            <w:r>
              <w:rPr>
                <w:rFonts w:ascii="黑体" w:eastAsia="黑体" w:hAnsi="黑体" w:cs="黑体"/>
                <w:sz w:val="24"/>
                <w:szCs w:val="24"/>
              </w:rPr>
              <w:t>00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字以内）</w:t>
            </w:r>
          </w:p>
        </w:tc>
        <w:tc>
          <w:tcPr>
            <w:tcW w:w="6600" w:type="dxa"/>
            <w:gridSpan w:val="4"/>
          </w:tcPr>
          <w:p w:rsidR="00C56B28" w:rsidRDefault="00C56B28">
            <w:pPr>
              <w:spacing w:afterLines="50" w:after="156"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6B28">
        <w:trPr>
          <w:trHeight w:val="1732"/>
          <w:jc w:val="center"/>
        </w:trPr>
        <w:tc>
          <w:tcPr>
            <w:tcW w:w="1696" w:type="dxa"/>
            <w:vAlign w:val="center"/>
          </w:tcPr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学院（部）</w:t>
            </w:r>
          </w:p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团委意见</w:t>
            </w:r>
          </w:p>
        </w:tc>
        <w:tc>
          <w:tcPr>
            <w:tcW w:w="6600" w:type="dxa"/>
            <w:gridSpan w:val="4"/>
          </w:tcPr>
          <w:p w:rsidR="00C56B28" w:rsidRDefault="00C56B28">
            <w:pPr>
              <w:spacing w:afterLines="50" w:after="156"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56B28" w:rsidRDefault="00C56B28">
            <w:pPr>
              <w:spacing w:afterLines="50" w:after="156"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56B28" w:rsidRDefault="00EF02EB">
            <w:pPr>
              <w:spacing w:afterLines="50" w:after="156" w:line="280" w:lineRule="exact"/>
              <w:ind w:right="1200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盖章</w:t>
            </w:r>
          </w:p>
          <w:p w:rsidR="00C56B28" w:rsidRDefault="00EF02EB">
            <w:pPr>
              <w:spacing w:afterLines="50" w:after="156" w:line="280" w:lineRule="exact"/>
              <w:ind w:right="480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</w:tr>
      <w:tr w:rsidR="00C56B28">
        <w:trPr>
          <w:trHeight w:val="1530"/>
          <w:jc w:val="center"/>
        </w:trPr>
        <w:tc>
          <w:tcPr>
            <w:tcW w:w="1696" w:type="dxa"/>
            <w:vAlign w:val="center"/>
          </w:tcPr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校团委</w:t>
            </w:r>
          </w:p>
          <w:p w:rsidR="00C56B28" w:rsidRDefault="00EF02EB">
            <w:pPr>
              <w:spacing w:afterLines="50" w:after="156"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4"/>
          </w:tcPr>
          <w:p w:rsidR="00C56B28" w:rsidRDefault="00C56B28">
            <w:pPr>
              <w:spacing w:afterLines="50" w:after="156"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56B28" w:rsidRDefault="00C56B28">
            <w:pPr>
              <w:spacing w:afterLines="50" w:after="156"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56B28" w:rsidRDefault="00EF02EB">
            <w:pPr>
              <w:spacing w:afterLines="50" w:after="156" w:line="280" w:lineRule="exact"/>
              <w:ind w:right="1200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盖章</w:t>
            </w:r>
          </w:p>
          <w:p w:rsidR="00C56B28" w:rsidRDefault="00EF02EB">
            <w:pPr>
              <w:spacing w:afterLines="50" w:after="156" w:line="280" w:lineRule="exact"/>
              <w:ind w:right="480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</w:tr>
    </w:tbl>
    <w:p w:rsidR="00C56B28" w:rsidRDefault="00EF02EB">
      <w:pPr>
        <w:spacing w:line="240" w:lineRule="exac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注：此表需加盖学院（部）团委公章，一式一份，电子版于</w:t>
      </w:r>
      <w:r w:rsidR="0051085A">
        <w:rPr>
          <w:rFonts w:ascii="黑体" w:eastAsia="黑体" w:hAnsi="黑体" w:cs="黑体" w:hint="eastAsia"/>
          <w:sz w:val="21"/>
          <w:szCs w:val="21"/>
        </w:rPr>
        <w:t>5</w:t>
      </w:r>
      <w:r>
        <w:rPr>
          <w:rFonts w:ascii="黑体" w:eastAsia="黑体" w:hAnsi="黑体" w:cs="黑体" w:hint="eastAsia"/>
          <w:sz w:val="21"/>
          <w:szCs w:val="21"/>
        </w:rPr>
        <w:t>月</w:t>
      </w:r>
      <w:r>
        <w:rPr>
          <w:rFonts w:ascii="黑体" w:eastAsia="黑体" w:hAnsi="黑体" w:cs="黑体"/>
          <w:sz w:val="21"/>
          <w:szCs w:val="21"/>
        </w:rPr>
        <w:t>2</w:t>
      </w:r>
      <w:r w:rsidR="0051085A">
        <w:rPr>
          <w:rFonts w:ascii="黑体" w:eastAsia="黑体" w:hAnsi="黑体" w:cs="黑体" w:hint="eastAsia"/>
          <w:sz w:val="21"/>
          <w:szCs w:val="21"/>
        </w:rPr>
        <w:t>7</w:t>
      </w:r>
      <w:r>
        <w:rPr>
          <w:rFonts w:ascii="黑体" w:eastAsia="黑体" w:hAnsi="黑体" w:cs="黑体" w:hint="eastAsia"/>
          <w:sz w:val="21"/>
          <w:szCs w:val="21"/>
        </w:rPr>
        <w:t>日前发送至邮箱htuxydjds@163.com；纸质版在</w:t>
      </w:r>
      <w:r w:rsidR="0051085A">
        <w:rPr>
          <w:rFonts w:ascii="黑体" w:eastAsia="黑体" w:hAnsi="黑体" w:cs="黑体" w:hint="eastAsia"/>
          <w:sz w:val="21"/>
          <w:szCs w:val="21"/>
        </w:rPr>
        <w:t>5</w:t>
      </w:r>
      <w:r>
        <w:rPr>
          <w:rFonts w:ascii="黑体" w:eastAsia="黑体" w:hAnsi="黑体" w:cs="黑体" w:hint="eastAsia"/>
          <w:sz w:val="21"/>
          <w:szCs w:val="21"/>
        </w:rPr>
        <w:t>月</w:t>
      </w:r>
      <w:r>
        <w:rPr>
          <w:rFonts w:ascii="黑体" w:eastAsia="黑体" w:hAnsi="黑体" w:cs="黑体"/>
          <w:sz w:val="21"/>
          <w:szCs w:val="21"/>
        </w:rPr>
        <w:t>2</w:t>
      </w:r>
      <w:r w:rsidR="0051085A">
        <w:rPr>
          <w:rFonts w:ascii="黑体" w:eastAsia="黑体" w:hAnsi="黑体" w:cs="黑体" w:hint="eastAsia"/>
          <w:sz w:val="21"/>
          <w:szCs w:val="21"/>
        </w:rPr>
        <w:t>7</w:t>
      </w:r>
      <w:r>
        <w:rPr>
          <w:rFonts w:ascii="黑体" w:eastAsia="黑体" w:hAnsi="黑体" w:cs="黑体" w:hint="eastAsia"/>
          <w:sz w:val="21"/>
          <w:szCs w:val="21"/>
        </w:rPr>
        <w:t>日送至旅游学院琢玉楼101办公室。</w:t>
      </w:r>
    </w:p>
    <w:p w:rsidR="00C56B28" w:rsidRDefault="00EF02E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C56B28" w:rsidRDefault="00EF02EB">
      <w:pPr>
        <w:spacing w:line="56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推荐书目</w:t>
      </w:r>
    </w:p>
    <w:p w:rsidR="0051085A" w:rsidRDefault="0051085A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</w:t>
      </w:r>
      <w:r>
        <w:rPr>
          <w:rFonts w:ascii="仿宋" w:eastAsia="仿宋" w:hAnsi="仿宋" w:cs="黑体" w:hint="eastAsia"/>
          <w:sz w:val="32"/>
          <w:szCs w:val="32"/>
        </w:rPr>
        <w:t>1</w:t>
      </w:r>
      <w:r>
        <w:rPr>
          <w:rFonts w:ascii="仿宋" w:eastAsia="仿宋" w:hAnsi="仿宋" w:cs="黑体"/>
          <w:sz w:val="32"/>
          <w:szCs w:val="32"/>
        </w:rPr>
        <w:t>.《论中国共产党历史》</w:t>
      </w:r>
    </w:p>
    <w:p w:rsidR="00C56B28" w:rsidRDefault="00EF02EB">
      <w:pPr>
        <w:spacing w:line="560" w:lineRule="exact"/>
        <w:ind w:left="640" w:hangingChars="200" w:hanging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02.《中国共产党简史》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03.《</w:t>
      </w:r>
      <w:r>
        <w:rPr>
          <w:rFonts w:ascii="仿宋" w:eastAsia="仿宋" w:hAnsi="仿宋" w:cs="黑体" w:hint="eastAsia"/>
          <w:sz w:val="32"/>
          <w:szCs w:val="32"/>
        </w:rPr>
        <w:t>新中国极简史</w:t>
      </w:r>
      <w:r>
        <w:rPr>
          <w:rFonts w:ascii="仿宋" w:eastAsia="仿宋" w:hAnsi="仿宋" w:cs="黑体"/>
          <w:sz w:val="32"/>
          <w:szCs w:val="32"/>
        </w:rPr>
        <w:t>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04.《写给青少年的党史》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05.《跟着共产党走》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06.《人民至上》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07.《党的领袖与党史研究》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08.《中华英烈事迹读本》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09.《魅力毛泽东》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10.《历史的选择：中共早期领导人纪实》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11.《中共党史上的那些人与事》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12.《开放中国：改革开放的30年记忆》</w:t>
      </w:r>
    </w:p>
    <w:p w:rsidR="00C56B28" w:rsidRDefault="00EF02EB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13.《红军长征史》</w:t>
      </w:r>
    </w:p>
    <w:p w:rsidR="00C56B28" w:rsidRDefault="00C56B28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sectPr w:rsidR="00C5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E5" w:rsidRDefault="00E512E5" w:rsidP="00CC39FB">
      <w:r>
        <w:separator/>
      </w:r>
    </w:p>
  </w:endnote>
  <w:endnote w:type="continuationSeparator" w:id="0">
    <w:p w:rsidR="00E512E5" w:rsidRDefault="00E512E5" w:rsidP="00C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E5" w:rsidRDefault="00E512E5" w:rsidP="00CC39FB">
      <w:r>
        <w:separator/>
      </w:r>
    </w:p>
  </w:footnote>
  <w:footnote w:type="continuationSeparator" w:id="0">
    <w:p w:rsidR="00E512E5" w:rsidRDefault="00E512E5" w:rsidP="00CC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8"/>
    <w:rsid w:val="001B1B47"/>
    <w:rsid w:val="00436269"/>
    <w:rsid w:val="0051085A"/>
    <w:rsid w:val="00837710"/>
    <w:rsid w:val="00897E5A"/>
    <w:rsid w:val="00C56B28"/>
    <w:rsid w:val="00CC39FB"/>
    <w:rsid w:val="00E512E5"/>
    <w:rsid w:val="00EF02EB"/>
    <w:rsid w:val="0E8912DA"/>
    <w:rsid w:val="0F5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18</cp:revision>
  <dcterms:created xsi:type="dcterms:W3CDTF">2021-03-28T02:58:00Z</dcterms:created>
  <dcterms:modified xsi:type="dcterms:W3CDTF">2021-05-18T08:01:00Z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4181393FDB8B4EA98A0CE87D49874D7D</vt:lpwstr>
  </property>
</Properties>
</file>